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F147" w14:textId="77777777" w:rsidR="00A12C76" w:rsidRDefault="00A12C76" w:rsidP="00A12C76">
      <w:pPr>
        <w:spacing w:line="240" w:lineRule="auto"/>
        <w:rPr>
          <w:rFonts w:cs="Times New Roman"/>
        </w:rPr>
      </w:pPr>
      <w:r w:rsidRPr="00CC1CF8">
        <w:rPr>
          <w:rFonts w:cs="Times New Roman"/>
        </w:rPr>
        <w:t>УДК 617.7-073.178</w:t>
      </w:r>
    </w:p>
    <w:p w14:paraId="6C9C1891" w14:textId="77777777" w:rsidR="00A12C76" w:rsidRPr="00CC1CF8" w:rsidRDefault="00A12C76" w:rsidP="00A12C76">
      <w:pPr>
        <w:spacing w:line="240" w:lineRule="auto"/>
        <w:rPr>
          <w:rFonts w:cs="Times New Roman"/>
        </w:rPr>
      </w:pPr>
    </w:p>
    <w:p w14:paraId="3B676278" w14:textId="147232A3" w:rsidR="00A12C76" w:rsidRDefault="00A12C76" w:rsidP="00A12C76">
      <w:pPr>
        <w:spacing w:line="240" w:lineRule="auto"/>
        <w:rPr>
          <w:rFonts w:cs="Times New Roman"/>
          <w:vertAlign w:val="superscript"/>
        </w:rPr>
      </w:pPr>
      <w:r>
        <w:rPr>
          <w:rFonts w:cs="Times New Roman"/>
          <w:lang w:val="ru-RU"/>
        </w:rPr>
        <w:t>Е</w:t>
      </w:r>
      <w:r w:rsidR="00FD3B32">
        <w:rPr>
          <w:rFonts w:cs="Times New Roman"/>
          <w:lang w:val="ru-RU"/>
        </w:rPr>
        <w:t>лисеева</w:t>
      </w:r>
      <w:r w:rsidRPr="00CC1CF8">
        <w:rPr>
          <w:rFonts w:cs="Times New Roman"/>
        </w:rPr>
        <w:t xml:space="preserve"> Е.</w:t>
      </w:r>
      <w:r w:rsidR="00FD3B32">
        <w:rPr>
          <w:rFonts w:cs="Times New Roman"/>
          <w:lang w:val="ru-RU"/>
        </w:rPr>
        <w:t>Е</w:t>
      </w:r>
      <w:r w:rsidRPr="00CC1CF8">
        <w:rPr>
          <w:rFonts w:cs="Times New Roman"/>
        </w:rPr>
        <w:t>.</w:t>
      </w:r>
      <w:r w:rsidRPr="00CC1CF8">
        <w:rPr>
          <w:rFonts w:cs="Times New Roman"/>
          <w:vertAlign w:val="superscript"/>
        </w:rPr>
        <w:t>1</w:t>
      </w:r>
      <w:r w:rsidRPr="00CC1CF8">
        <w:rPr>
          <w:rFonts w:cs="Times New Roman"/>
        </w:rPr>
        <w:t xml:space="preserve">, Петрова </w:t>
      </w:r>
      <w:r w:rsidR="00FD3B32">
        <w:rPr>
          <w:rFonts w:cs="Times New Roman"/>
          <w:lang w:val="ru-RU"/>
        </w:rPr>
        <w:t>П</w:t>
      </w:r>
      <w:r w:rsidRPr="00CC1CF8">
        <w:rPr>
          <w:rFonts w:cs="Times New Roman"/>
        </w:rPr>
        <w:t>.</w:t>
      </w:r>
      <w:r w:rsidR="00FD3B32">
        <w:rPr>
          <w:rFonts w:cs="Times New Roman"/>
          <w:lang w:val="ru-RU"/>
        </w:rPr>
        <w:t>П</w:t>
      </w:r>
      <w:r w:rsidRPr="00CC1CF8">
        <w:rPr>
          <w:rFonts w:cs="Times New Roman"/>
        </w:rPr>
        <w:t>.</w:t>
      </w:r>
      <w:r w:rsidRPr="00CC1CF8">
        <w:rPr>
          <w:rFonts w:cs="Times New Roman"/>
          <w:vertAlign w:val="superscript"/>
        </w:rPr>
        <w:t>1</w:t>
      </w:r>
    </w:p>
    <w:p w14:paraId="08396FBC" w14:textId="77777777" w:rsidR="00A12C76" w:rsidRPr="00B25066" w:rsidRDefault="00A12C76" w:rsidP="00A12C76">
      <w:pPr>
        <w:spacing w:line="240" w:lineRule="auto"/>
        <w:rPr>
          <w:rFonts w:cs="Times New Roman"/>
        </w:rPr>
      </w:pPr>
    </w:p>
    <w:p w14:paraId="3A1CA597" w14:textId="2AEDCD54" w:rsidR="00A12C76" w:rsidRDefault="00A12C76" w:rsidP="00A12C76">
      <w:pPr>
        <w:spacing w:line="240" w:lineRule="auto"/>
        <w:rPr>
          <w:rFonts w:cs="Times New Roman"/>
          <w:b/>
        </w:rPr>
      </w:pPr>
      <w:r w:rsidRPr="00A12C76">
        <w:rPr>
          <w:rFonts w:cs="Times New Roman"/>
          <w:b/>
        </w:rPr>
        <w:t>КЛЕТОЧНЫЙ ИММУННЫЙ ОТВЕТ У ПАЦИЕНТОВ С ТЯЖЕЛОЙ БАКТЕРИАЛЬНОЙ ИНФЕКЦИЕЙ</w:t>
      </w:r>
    </w:p>
    <w:p w14:paraId="7FEAE335" w14:textId="77777777" w:rsidR="00A12C76" w:rsidRPr="00CC1CF8" w:rsidRDefault="00A12C76" w:rsidP="00A12C76">
      <w:pPr>
        <w:spacing w:line="240" w:lineRule="auto"/>
        <w:rPr>
          <w:rFonts w:cs="Times New Roman"/>
          <w:b/>
        </w:rPr>
      </w:pPr>
    </w:p>
    <w:p w14:paraId="78096193" w14:textId="350BED0F" w:rsidR="00A12C76" w:rsidRDefault="00A12C76" w:rsidP="00A12C76">
      <w:pPr>
        <w:spacing w:line="240" w:lineRule="auto"/>
        <w:rPr>
          <w:rFonts w:cs="Times New Roman"/>
          <w:vertAlign w:val="superscript"/>
        </w:rPr>
      </w:pPr>
      <w:r w:rsidRPr="00CC1CF8">
        <w:rPr>
          <w:rFonts w:cs="Times New Roman"/>
        </w:rPr>
        <w:t>Научные руководители: к.м.н., доцент Иванов И.И.</w:t>
      </w:r>
      <w:r w:rsidRPr="00CC1CF8">
        <w:rPr>
          <w:rFonts w:cs="Times New Roman"/>
          <w:vertAlign w:val="superscript"/>
        </w:rPr>
        <w:t>1</w:t>
      </w:r>
      <w:r w:rsidRPr="00CC1CF8">
        <w:rPr>
          <w:rFonts w:cs="Times New Roman"/>
        </w:rPr>
        <w:t>, Егоров Е.Е.</w:t>
      </w:r>
      <w:r w:rsidR="002E1624" w:rsidRPr="00CC1CF8">
        <w:rPr>
          <w:rFonts w:cs="Times New Roman"/>
          <w:vertAlign w:val="superscript"/>
        </w:rPr>
        <w:t>2</w:t>
      </w:r>
      <w:r w:rsidRPr="00CC1CF8">
        <w:rPr>
          <w:rFonts w:cs="Times New Roman"/>
        </w:rPr>
        <w:t xml:space="preserve"> (врач-</w:t>
      </w:r>
      <w:r>
        <w:rPr>
          <w:rFonts w:cs="Times New Roman"/>
          <w:lang w:val="ru-RU"/>
        </w:rPr>
        <w:t>анестезиолог-реаниматолог</w:t>
      </w:r>
      <w:r w:rsidRPr="00CC1CF8">
        <w:rPr>
          <w:rFonts w:cs="Times New Roman"/>
        </w:rPr>
        <w:t>)</w:t>
      </w:r>
    </w:p>
    <w:p w14:paraId="1AF14ECC" w14:textId="77777777" w:rsidR="00A12C76" w:rsidRPr="00B25066" w:rsidRDefault="00A12C76" w:rsidP="00A12C76">
      <w:pPr>
        <w:spacing w:line="240" w:lineRule="auto"/>
        <w:rPr>
          <w:rFonts w:cs="Times New Roman"/>
        </w:rPr>
      </w:pPr>
    </w:p>
    <w:p w14:paraId="3668AE78" w14:textId="77777777" w:rsidR="00A12C76" w:rsidRPr="00CC1CF8" w:rsidRDefault="00A12C76" w:rsidP="00A12C76">
      <w:pPr>
        <w:spacing w:line="240" w:lineRule="auto"/>
        <w:rPr>
          <w:rFonts w:cs="Times New Roman"/>
          <w:i/>
        </w:rPr>
      </w:pPr>
      <w:r w:rsidRPr="00CC1CF8">
        <w:rPr>
          <w:rFonts w:cs="Times New Roman"/>
          <w:i/>
          <w:vertAlign w:val="superscript"/>
        </w:rPr>
        <w:t>1</w:t>
      </w:r>
      <w:r w:rsidRPr="00CC1CF8">
        <w:rPr>
          <w:rFonts w:cs="Times New Roman"/>
          <w:i/>
        </w:rPr>
        <w:t>Витебский государственный медицинский университет, г. Витебск</w:t>
      </w:r>
    </w:p>
    <w:p w14:paraId="68F9FA92" w14:textId="77777777" w:rsidR="00A12C76" w:rsidRPr="00CC1CF8" w:rsidRDefault="00A12C76" w:rsidP="00A12C76">
      <w:pPr>
        <w:spacing w:line="240" w:lineRule="auto"/>
        <w:rPr>
          <w:rFonts w:cs="Times New Roman"/>
          <w:i/>
        </w:rPr>
      </w:pPr>
      <w:r w:rsidRPr="00CC1CF8">
        <w:rPr>
          <w:rFonts w:cs="Times New Roman"/>
          <w:i/>
          <w:vertAlign w:val="superscript"/>
        </w:rPr>
        <w:t>2</w:t>
      </w:r>
      <w:r w:rsidRPr="00CC1CF8">
        <w:rPr>
          <w:rFonts w:cs="Times New Roman"/>
          <w:i/>
        </w:rPr>
        <w:t>Витебская областная клиническая больница, г. Витебск</w:t>
      </w:r>
    </w:p>
    <w:p w14:paraId="590EB018" w14:textId="77777777" w:rsidR="00A12C76" w:rsidRPr="00CC1CF8" w:rsidRDefault="00A12C76" w:rsidP="00A12C76">
      <w:pPr>
        <w:spacing w:line="240" w:lineRule="auto"/>
        <w:rPr>
          <w:rFonts w:cs="Times New Roman"/>
          <w:i/>
        </w:rPr>
      </w:pPr>
    </w:p>
    <w:p w14:paraId="2A6A03E7" w14:textId="73456D0B" w:rsidR="000E181D" w:rsidRPr="000E181D" w:rsidRDefault="000E181D" w:rsidP="00A12C76">
      <w:pPr>
        <w:spacing w:line="240" w:lineRule="auto"/>
        <w:ind w:firstLine="720"/>
        <w:rPr>
          <w:rFonts w:cs="Times New Roman"/>
          <w:bCs/>
          <w:lang w:val="ru-RU"/>
        </w:rPr>
      </w:pPr>
      <w:r w:rsidRPr="00AF6E92">
        <w:rPr>
          <w:rFonts w:cs="Times New Roman"/>
          <w:b/>
        </w:rPr>
        <w:t>Аннотация.</w:t>
      </w:r>
      <w:r>
        <w:rPr>
          <w:rFonts w:cs="Times New Roman"/>
          <w:b/>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t xml:space="preserve"> </w:t>
      </w:r>
      <w:r w:rsidRPr="000E181D">
        <w:rPr>
          <w:rFonts w:cs="Times New Roman"/>
          <w:bCs/>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0247EB9" w14:textId="38433E54" w:rsidR="000E181D" w:rsidRPr="00AF6E92" w:rsidRDefault="000E181D" w:rsidP="00A12C76">
      <w:pPr>
        <w:spacing w:line="240" w:lineRule="auto"/>
        <w:ind w:firstLine="720"/>
        <w:rPr>
          <w:rFonts w:cs="Times New Roman"/>
        </w:rPr>
      </w:pPr>
      <w:r w:rsidRPr="00AF6E92">
        <w:rPr>
          <w:rFonts w:cs="Times New Roman"/>
          <w:b/>
        </w:rPr>
        <w:t xml:space="preserve">Ключевые слова: </w:t>
      </w:r>
      <w:r w:rsidR="00702CE6" w:rsidRPr="00702CE6">
        <w:rPr>
          <w:rFonts w:cs="Times New Roman"/>
        </w:rPr>
        <w:t>клеточный иммунитет, реакция бласттрансформации лимфоцитов, отделение реанимации и интенсивной терапии</w:t>
      </w:r>
      <w:r w:rsidRPr="00AF6E92">
        <w:rPr>
          <w:rFonts w:cs="Times New Roman"/>
        </w:rPr>
        <w:t>.</w:t>
      </w:r>
    </w:p>
    <w:p w14:paraId="531E55D3" w14:textId="55351088" w:rsidR="000E181D" w:rsidRPr="00AF6E92" w:rsidRDefault="000E181D" w:rsidP="00A12C76">
      <w:pPr>
        <w:spacing w:line="240" w:lineRule="auto"/>
        <w:ind w:firstLine="720"/>
        <w:rPr>
          <w:rFonts w:cs="Times New Roman"/>
          <w:b/>
        </w:rPr>
      </w:pPr>
      <w:r w:rsidRPr="00AF6E92">
        <w:rPr>
          <w:rFonts w:cs="Times New Roman"/>
          <w:b/>
        </w:rPr>
        <w:t xml:space="preserve">Введение.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 xml:space="preserve">текст текст </w:t>
      </w:r>
      <w:r w:rsidRPr="000E181D">
        <w:rPr>
          <w:rFonts w:cs="Times New Roman"/>
          <w:bCs/>
          <w:lang w:val="ru-RU"/>
        </w:rPr>
        <w:t>[1]</w:t>
      </w:r>
      <w:r>
        <w:rPr>
          <w:rFonts w:cs="Times New Roman"/>
          <w:bCs/>
          <w:lang w:val="ru-RU"/>
        </w:rPr>
        <w:t>.</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[2]</w:t>
      </w:r>
      <w:r>
        <w:rPr>
          <w:rFonts w:cs="Times New Roman"/>
          <w:bCs/>
          <w:lang w:val="ru-RU"/>
        </w:rPr>
        <w:t>.</w:t>
      </w:r>
    </w:p>
    <w:p w14:paraId="4DCF5897" w14:textId="1E5AA4C1" w:rsidR="000E181D" w:rsidRPr="00AF6E92" w:rsidRDefault="000E181D" w:rsidP="00A12C76">
      <w:pPr>
        <w:spacing w:line="240" w:lineRule="auto"/>
        <w:ind w:firstLine="720"/>
        <w:rPr>
          <w:rFonts w:cs="Times New Roman"/>
          <w:b/>
        </w:rPr>
      </w:pPr>
      <w:r w:rsidRPr="00AF6E92">
        <w:rPr>
          <w:rFonts w:cs="Times New Roman"/>
          <w:b/>
        </w:rPr>
        <w:t xml:space="preserve">Цель исследования.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26868A00" w14:textId="47F4D8A9" w:rsidR="000E181D" w:rsidRPr="000E181D" w:rsidRDefault="000E181D" w:rsidP="00A12C76">
      <w:pPr>
        <w:spacing w:line="240" w:lineRule="auto"/>
        <w:ind w:firstLine="720"/>
        <w:rPr>
          <w:rFonts w:cs="Times New Roman"/>
          <w:bCs/>
        </w:rPr>
      </w:pPr>
      <w:r w:rsidRPr="00AF6E92">
        <w:rPr>
          <w:rFonts w:cs="Times New Roman"/>
          <w:b/>
        </w:rPr>
        <w:t xml:space="preserve">Материал и методы.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1268E01E" w14:textId="40A9E45B" w:rsidR="000E181D" w:rsidRPr="00AF6E92" w:rsidRDefault="000E181D" w:rsidP="00A12C76">
      <w:pPr>
        <w:spacing w:line="240" w:lineRule="auto"/>
        <w:ind w:firstLine="720"/>
        <w:rPr>
          <w:rFonts w:cs="Times New Roman"/>
          <w:b/>
        </w:rPr>
      </w:pPr>
      <w:r w:rsidRPr="00AF6E92">
        <w:rPr>
          <w:rFonts w:cs="Times New Roman"/>
          <w:b/>
        </w:rPr>
        <w:t xml:space="preserve">Результаты  исследования.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5C6AA8A0" w14:textId="77777777" w:rsidR="000E181D" w:rsidRPr="00AF6E92" w:rsidRDefault="000E181D" w:rsidP="00A12C76">
      <w:pPr>
        <w:spacing w:line="240" w:lineRule="auto"/>
        <w:ind w:firstLine="720"/>
        <w:rPr>
          <w:rFonts w:cs="Times New Roman"/>
        </w:rPr>
      </w:pPr>
      <w:r w:rsidRPr="00AF6E92">
        <w:rPr>
          <w:rFonts w:cs="Times New Roman"/>
          <w:b/>
        </w:rPr>
        <w:t xml:space="preserve">Таблица 1. </w:t>
      </w:r>
      <w:r w:rsidRPr="00AF6E92">
        <w:rPr>
          <w:rFonts w:cs="Times New Roman"/>
        </w:rPr>
        <w:t>Антимикробная активность ЭМ в отношении эталонных штаммов микроорганизмов из коллекции АТСС (% подавления роста)</w:t>
      </w:r>
    </w:p>
    <w:tbl>
      <w:tblPr>
        <w:tblStyle w:val="a4"/>
        <w:tblW w:w="0" w:type="auto"/>
        <w:jc w:val="center"/>
        <w:tblLook w:val="04A0" w:firstRow="1" w:lastRow="0" w:firstColumn="1" w:lastColumn="0" w:noHBand="0" w:noVBand="1"/>
      </w:tblPr>
      <w:tblGrid>
        <w:gridCol w:w="2438"/>
        <w:gridCol w:w="2397"/>
        <w:gridCol w:w="2398"/>
        <w:gridCol w:w="2395"/>
      </w:tblGrid>
      <w:tr w:rsidR="000E181D" w:rsidRPr="00AF6E92" w14:paraId="0EDA0F65" w14:textId="77777777" w:rsidTr="00ED3192">
        <w:trPr>
          <w:jc w:val="center"/>
        </w:trPr>
        <w:tc>
          <w:tcPr>
            <w:tcW w:w="2438" w:type="dxa"/>
          </w:tcPr>
          <w:p w14:paraId="02D3F824" w14:textId="77777777" w:rsidR="000E181D" w:rsidRPr="00AF6E92" w:rsidRDefault="000E181D" w:rsidP="00A12C76">
            <w:pPr>
              <w:rPr>
                <w:rFonts w:cs="Times New Roman"/>
                <w:b/>
                <w:sz w:val="20"/>
                <w:szCs w:val="20"/>
              </w:rPr>
            </w:pPr>
            <w:r w:rsidRPr="00AF6E92">
              <w:rPr>
                <w:rFonts w:cs="Times New Roman"/>
                <w:b/>
                <w:sz w:val="20"/>
                <w:szCs w:val="20"/>
              </w:rPr>
              <w:t>Микроорганизм</w:t>
            </w:r>
          </w:p>
        </w:tc>
        <w:tc>
          <w:tcPr>
            <w:tcW w:w="2397" w:type="dxa"/>
            <w:vAlign w:val="center"/>
          </w:tcPr>
          <w:p w14:paraId="18E333C7" w14:textId="77777777" w:rsidR="000E181D" w:rsidRPr="00AF6E92" w:rsidRDefault="000E181D" w:rsidP="00A12C76">
            <w:pPr>
              <w:jc w:val="center"/>
              <w:rPr>
                <w:rFonts w:cs="Times New Roman"/>
                <w:sz w:val="20"/>
                <w:szCs w:val="20"/>
              </w:rPr>
            </w:pPr>
            <w:r w:rsidRPr="00AF6E92">
              <w:rPr>
                <w:rFonts w:cs="Times New Roman"/>
                <w:sz w:val="20"/>
                <w:szCs w:val="20"/>
              </w:rPr>
              <w:t>х</w:t>
            </w:r>
          </w:p>
        </w:tc>
        <w:tc>
          <w:tcPr>
            <w:tcW w:w="2398" w:type="dxa"/>
            <w:vAlign w:val="center"/>
          </w:tcPr>
          <w:p w14:paraId="5F4623B3" w14:textId="77777777" w:rsidR="000E181D" w:rsidRPr="00AF6E92" w:rsidRDefault="000E181D" w:rsidP="00A12C76">
            <w:pPr>
              <w:jc w:val="center"/>
              <w:rPr>
                <w:rFonts w:cs="Times New Roman"/>
                <w:sz w:val="20"/>
                <w:szCs w:val="20"/>
              </w:rPr>
            </w:pPr>
            <w:r w:rsidRPr="00AF6E92">
              <w:rPr>
                <w:rFonts w:cs="Times New Roman"/>
                <w:sz w:val="20"/>
                <w:szCs w:val="20"/>
              </w:rPr>
              <w:t>а</w:t>
            </w:r>
          </w:p>
        </w:tc>
        <w:tc>
          <w:tcPr>
            <w:tcW w:w="2395" w:type="dxa"/>
            <w:vAlign w:val="center"/>
          </w:tcPr>
          <w:p w14:paraId="20D462AB" w14:textId="77777777" w:rsidR="000E181D" w:rsidRPr="00AF6E92" w:rsidRDefault="000E181D" w:rsidP="00A12C76">
            <w:pPr>
              <w:jc w:val="center"/>
              <w:rPr>
                <w:rFonts w:cs="Times New Roman"/>
                <w:sz w:val="20"/>
                <w:szCs w:val="20"/>
              </w:rPr>
            </w:pPr>
            <w:r w:rsidRPr="00AF6E92">
              <w:rPr>
                <w:rFonts w:cs="Times New Roman"/>
                <w:sz w:val="20"/>
                <w:szCs w:val="20"/>
              </w:rPr>
              <w:t>в</w:t>
            </w:r>
          </w:p>
        </w:tc>
      </w:tr>
      <w:tr w:rsidR="000E181D" w:rsidRPr="00AF6E92" w14:paraId="50797BE3" w14:textId="77777777" w:rsidTr="00ED3192">
        <w:trPr>
          <w:trHeight w:val="97"/>
          <w:jc w:val="center"/>
        </w:trPr>
        <w:tc>
          <w:tcPr>
            <w:tcW w:w="2438" w:type="dxa"/>
          </w:tcPr>
          <w:p w14:paraId="5E8D3DED" w14:textId="77777777" w:rsidR="000E181D" w:rsidRPr="00AF6E92" w:rsidRDefault="000E181D" w:rsidP="00A12C76">
            <w:pPr>
              <w:rPr>
                <w:rFonts w:cs="Times New Roman"/>
                <w:b/>
                <w:sz w:val="20"/>
                <w:szCs w:val="20"/>
              </w:rPr>
            </w:pPr>
            <w:r w:rsidRPr="00AF6E92">
              <w:rPr>
                <w:rFonts w:cs="Times New Roman"/>
                <w:b/>
                <w:sz w:val="20"/>
                <w:szCs w:val="20"/>
              </w:rPr>
              <w:t xml:space="preserve">Количество </w:t>
            </w:r>
          </w:p>
          <w:p w14:paraId="6B8D9BB1" w14:textId="77777777" w:rsidR="000E181D" w:rsidRPr="00AF6E92" w:rsidRDefault="000E181D" w:rsidP="00A12C76">
            <w:pPr>
              <w:rPr>
                <w:rFonts w:cs="Times New Roman"/>
                <w:b/>
                <w:sz w:val="20"/>
                <w:szCs w:val="20"/>
              </w:rPr>
            </w:pPr>
            <w:r w:rsidRPr="00AF6E92">
              <w:rPr>
                <w:rFonts w:cs="Times New Roman"/>
                <w:b/>
                <w:sz w:val="20"/>
                <w:szCs w:val="20"/>
              </w:rPr>
              <w:t>/антибиотик</w:t>
            </w:r>
          </w:p>
        </w:tc>
        <w:tc>
          <w:tcPr>
            <w:tcW w:w="2397" w:type="dxa"/>
            <w:vAlign w:val="center"/>
          </w:tcPr>
          <w:p w14:paraId="329AB30A" w14:textId="77777777" w:rsidR="000E181D" w:rsidRPr="00AF6E92" w:rsidRDefault="000E181D" w:rsidP="00A12C76">
            <w:pPr>
              <w:jc w:val="center"/>
              <w:rPr>
                <w:rFonts w:cs="Times New Roman"/>
                <w:sz w:val="20"/>
                <w:szCs w:val="20"/>
              </w:rPr>
            </w:pPr>
            <w:r w:rsidRPr="00AF6E92">
              <w:rPr>
                <w:rFonts w:cs="Times New Roman"/>
                <w:sz w:val="20"/>
                <w:szCs w:val="20"/>
              </w:rPr>
              <w:t>4</w:t>
            </w:r>
          </w:p>
        </w:tc>
        <w:tc>
          <w:tcPr>
            <w:tcW w:w="2398" w:type="dxa"/>
            <w:vAlign w:val="center"/>
          </w:tcPr>
          <w:p w14:paraId="73D34319" w14:textId="77777777" w:rsidR="000E181D" w:rsidRPr="00AF6E92" w:rsidRDefault="000E181D" w:rsidP="00A12C76">
            <w:pPr>
              <w:jc w:val="center"/>
              <w:rPr>
                <w:rFonts w:cs="Times New Roman"/>
                <w:sz w:val="20"/>
                <w:szCs w:val="20"/>
              </w:rPr>
            </w:pPr>
            <w:r w:rsidRPr="00AF6E92">
              <w:rPr>
                <w:rFonts w:cs="Times New Roman"/>
                <w:sz w:val="20"/>
                <w:szCs w:val="20"/>
              </w:rPr>
              <w:t>5</w:t>
            </w:r>
          </w:p>
        </w:tc>
        <w:tc>
          <w:tcPr>
            <w:tcW w:w="2395" w:type="dxa"/>
            <w:vAlign w:val="center"/>
          </w:tcPr>
          <w:p w14:paraId="0AC20654" w14:textId="77777777" w:rsidR="000E181D" w:rsidRPr="00AF6E92" w:rsidRDefault="000E181D" w:rsidP="00A12C76">
            <w:pPr>
              <w:jc w:val="center"/>
              <w:rPr>
                <w:rFonts w:cs="Times New Roman"/>
                <w:sz w:val="20"/>
                <w:szCs w:val="20"/>
              </w:rPr>
            </w:pPr>
            <w:r w:rsidRPr="00AF6E92">
              <w:rPr>
                <w:rFonts w:cs="Times New Roman"/>
                <w:sz w:val="20"/>
                <w:szCs w:val="20"/>
              </w:rPr>
              <w:t>6</w:t>
            </w:r>
          </w:p>
        </w:tc>
      </w:tr>
      <w:tr w:rsidR="000E181D" w:rsidRPr="00AF6E92" w14:paraId="53582A4A" w14:textId="77777777" w:rsidTr="00ED3192">
        <w:trPr>
          <w:jc w:val="center"/>
        </w:trPr>
        <w:tc>
          <w:tcPr>
            <w:tcW w:w="2438" w:type="dxa"/>
          </w:tcPr>
          <w:p w14:paraId="5F929638" w14:textId="77777777" w:rsidR="000E181D" w:rsidRPr="00AF6E92" w:rsidRDefault="000E181D" w:rsidP="00A12C76">
            <w:pPr>
              <w:rPr>
                <w:rFonts w:cs="Times New Roman"/>
                <w:b/>
                <w:sz w:val="20"/>
                <w:szCs w:val="20"/>
              </w:rPr>
            </w:pPr>
            <w:r w:rsidRPr="00AF6E92">
              <w:rPr>
                <w:rFonts w:cs="Times New Roman"/>
                <w:b/>
                <w:sz w:val="20"/>
                <w:szCs w:val="20"/>
              </w:rPr>
              <w:t>Ампицилин</w:t>
            </w:r>
          </w:p>
        </w:tc>
        <w:tc>
          <w:tcPr>
            <w:tcW w:w="2397" w:type="dxa"/>
            <w:vAlign w:val="center"/>
          </w:tcPr>
          <w:p w14:paraId="1599CB9F" w14:textId="77777777" w:rsidR="000E181D" w:rsidRPr="00AF6E92" w:rsidRDefault="000E181D" w:rsidP="00A12C76">
            <w:pPr>
              <w:jc w:val="center"/>
              <w:rPr>
                <w:rFonts w:cs="Times New Roman"/>
                <w:sz w:val="20"/>
                <w:szCs w:val="20"/>
              </w:rPr>
            </w:pPr>
            <w:r w:rsidRPr="00AF6E92">
              <w:rPr>
                <w:rFonts w:cs="Times New Roman"/>
                <w:sz w:val="20"/>
                <w:szCs w:val="20"/>
              </w:rPr>
              <w:t>100</w:t>
            </w:r>
          </w:p>
        </w:tc>
        <w:tc>
          <w:tcPr>
            <w:tcW w:w="2398" w:type="dxa"/>
            <w:vAlign w:val="center"/>
          </w:tcPr>
          <w:p w14:paraId="48254E1B" w14:textId="77777777" w:rsidR="000E181D" w:rsidRPr="00AF6E92" w:rsidRDefault="000E181D" w:rsidP="00A12C76">
            <w:pPr>
              <w:jc w:val="center"/>
              <w:rPr>
                <w:rFonts w:cs="Times New Roman"/>
                <w:sz w:val="20"/>
                <w:szCs w:val="20"/>
              </w:rPr>
            </w:pPr>
            <w:r w:rsidRPr="00AF6E92">
              <w:rPr>
                <w:rFonts w:cs="Times New Roman"/>
                <w:sz w:val="20"/>
                <w:szCs w:val="20"/>
              </w:rPr>
              <w:t>100</w:t>
            </w:r>
          </w:p>
        </w:tc>
        <w:tc>
          <w:tcPr>
            <w:tcW w:w="2395" w:type="dxa"/>
            <w:vAlign w:val="center"/>
          </w:tcPr>
          <w:p w14:paraId="5A323640" w14:textId="77777777" w:rsidR="000E181D" w:rsidRPr="00AF6E92" w:rsidRDefault="000E181D" w:rsidP="00A12C76">
            <w:pPr>
              <w:jc w:val="center"/>
              <w:rPr>
                <w:rFonts w:cs="Times New Roman"/>
                <w:sz w:val="20"/>
                <w:szCs w:val="20"/>
              </w:rPr>
            </w:pPr>
            <w:r w:rsidRPr="00AF6E92">
              <w:rPr>
                <w:rFonts w:cs="Times New Roman"/>
                <w:sz w:val="20"/>
                <w:szCs w:val="20"/>
              </w:rPr>
              <w:t>92</w:t>
            </w:r>
          </w:p>
        </w:tc>
      </w:tr>
    </w:tbl>
    <w:p w14:paraId="03D67461" w14:textId="39AD7AB0" w:rsidR="00A12C76" w:rsidRDefault="00ED3192" w:rsidP="00ED3192">
      <w:pPr>
        <w:spacing w:line="240" w:lineRule="auto"/>
        <w:jc w:val="center"/>
        <w:rPr>
          <w:rFonts w:cs="Times New Roman"/>
          <w:b/>
        </w:rPr>
      </w:pPr>
      <w:r w:rsidRPr="00ED3192">
        <w:rPr>
          <w:rFonts w:cs="Times New Roman"/>
          <w:b/>
          <w:noProof/>
        </w:rPr>
        <w:lastRenderedPageBreak/>
        <w:drawing>
          <wp:inline distT="0" distB="0" distL="0" distR="0" wp14:anchorId="3EB0635A" wp14:editId="454D1863">
            <wp:extent cx="2887980" cy="2058263"/>
            <wp:effectExtent l="0" t="0" r="7620" b="0"/>
            <wp:docPr id="5" name="Объект 4">
              <a:extLst xmlns:a="http://schemas.openxmlformats.org/drawingml/2006/main">
                <a:ext uri="{FF2B5EF4-FFF2-40B4-BE49-F238E27FC236}">
                  <a16:creationId xmlns:a16="http://schemas.microsoft.com/office/drawing/2014/main" id="{F9432159-E0D1-CD14-226D-94B053109EB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F9432159-E0D1-CD14-226D-94B053109EB1}"/>
                        </a:ext>
                      </a:extLst>
                    </pic:cNvPr>
                    <pic:cNvPicPr>
                      <a:picLocks noGrp="1"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7980" cy="2058263"/>
                    </a:xfrm>
                    <a:prstGeom prst="rect">
                      <a:avLst/>
                    </a:prstGeom>
                    <a:noFill/>
                    <a:ln>
                      <a:noFill/>
                    </a:ln>
                  </pic:spPr>
                </pic:pic>
              </a:graphicData>
            </a:graphic>
          </wp:inline>
        </w:drawing>
      </w:r>
    </w:p>
    <w:p w14:paraId="4F487AEB" w14:textId="7A0B1456" w:rsidR="00ED3192" w:rsidRPr="00ED3192" w:rsidRDefault="00ED3192" w:rsidP="00ED3192">
      <w:pPr>
        <w:spacing w:line="240" w:lineRule="auto"/>
        <w:jc w:val="center"/>
        <w:rPr>
          <w:rFonts w:cs="Times New Roman"/>
          <w:bCs/>
          <w:lang w:val="ru-RU"/>
        </w:rPr>
      </w:pPr>
      <w:r>
        <w:rPr>
          <w:rFonts w:cs="Times New Roman"/>
          <w:b/>
          <w:lang w:val="ru-RU"/>
        </w:rPr>
        <w:t xml:space="preserve">Рисунок 1. </w:t>
      </w:r>
      <w:r w:rsidRPr="00ED3192">
        <w:rPr>
          <w:rFonts w:cs="Times New Roman"/>
          <w:bCs/>
          <w:lang w:val="ru-RU"/>
        </w:rPr>
        <w:t>Микроскопия взвеси лимфоцитов и лимфобластов крови донора при постановке РБТЛ с ФГА</w:t>
      </w:r>
    </w:p>
    <w:p w14:paraId="785B2814" w14:textId="0B277594" w:rsidR="000E181D" w:rsidRPr="00AF6E92" w:rsidRDefault="000E181D" w:rsidP="00A12C76">
      <w:pPr>
        <w:spacing w:line="240" w:lineRule="auto"/>
        <w:ind w:firstLine="720"/>
        <w:rPr>
          <w:rFonts w:cs="Times New Roman"/>
          <w:b/>
        </w:rPr>
      </w:pPr>
      <w:r w:rsidRPr="00AF6E92">
        <w:rPr>
          <w:rFonts w:cs="Times New Roman"/>
          <w:b/>
        </w:rPr>
        <w:t xml:space="preserve">Заключение.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5C1D873E" w14:textId="77777777" w:rsidR="000E181D" w:rsidRPr="00AF6E92" w:rsidRDefault="000E181D" w:rsidP="00A12C76">
      <w:pPr>
        <w:spacing w:line="240" w:lineRule="auto"/>
        <w:ind w:firstLine="720"/>
        <w:rPr>
          <w:rFonts w:cs="Times New Roman"/>
          <w:b/>
        </w:rPr>
      </w:pPr>
      <w:r w:rsidRPr="00AF6E92">
        <w:rPr>
          <w:rFonts w:cs="Times New Roman"/>
          <w:b/>
        </w:rPr>
        <w:t>Список литературы:</w:t>
      </w:r>
    </w:p>
    <w:p w14:paraId="73DA38A7" w14:textId="77777777" w:rsidR="000E181D" w:rsidRPr="00AF6E92" w:rsidRDefault="000E181D" w:rsidP="00A12C76">
      <w:pPr>
        <w:pStyle w:val="a3"/>
        <w:numPr>
          <w:ilvl w:val="0"/>
          <w:numId w:val="1"/>
        </w:numPr>
        <w:ind w:firstLine="720"/>
        <w:rPr>
          <w:rFonts w:cs="Times New Roman"/>
        </w:rPr>
      </w:pPr>
      <w:r w:rsidRPr="00AF6E92">
        <w:rPr>
          <w:rFonts w:cs="Times New Roman"/>
          <w:lang w:val="en-US"/>
        </w:rPr>
        <w:t xml:space="preserve">Coban-Karatas, M. Risk factors for intraocular pressure rise following / M. Coban-Karatas [et al.] // Ind. J. of Ophtalm. </w:t>
      </w:r>
      <w:r w:rsidRPr="00AF6E92">
        <w:rPr>
          <w:rFonts w:cs="Times New Roman"/>
        </w:rPr>
        <w:t xml:space="preserve">− 2020. − </w:t>
      </w:r>
      <w:r w:rsidRPr="00AF6E92">
        <w:rPr>
          <w:rFonts w:cs="Times New Roman"/>
          <w:lang w:val="en-US"/>
        </w:rPr>
        <w:t>Vol</w:t>
      </w:r>
      <w:r w:rsidRPr="00AF6E92">
        <w:rPr>
          <w:rFonts w:cs="Times New Roman"/>
        </w:rPr>
        <w:t xml:space="preserve">. 61, №3. − </w:t>
      </w:r>
      <w:r w:rsidRPr="00AF6E92">
        <w:rPr>
          <w:rFonts w:cs="Times New Roman"/>
          <w:lang w:val="en-US"/>
        </w:rPr>
        <w:t>P</w:t>
      </w:r>
      <w:r w:rsidRPr="00AF6E92">
        <w:rPr>
          <w:rFonts w:cs="Times New Roman"/>
        </w:rPr>
        <w:t>. 115</w:t>
      </w:r>
      <w:r w:rsidRPr="00AF6E92">
        <w:rPr>
          <w:rFonts w:cs="Times New Roman"/>
          <w:lang w:val="en-US"/>
        </w:rPr>
        <w:t>−</w:t>
      </w:r>
      <w:r w:rsidRPr="00AF6E92">
        <w:rPr>
          <w:rFonts w:cs="Times New Roman"/>
        </w:rPr>
        <w:t>119.</w:t>
      </w:r>
    </w:p>
    <w:p w14:paraId="15BC446C" w14:textId="77777777" w:rsidR="000E181D" w:rsidRPr="00AF6E92" w:rsidRDefault="000E181D" w:rsidP="00A12C76">
      <w:pPr>
        <w:pStyle w:val="a3"/>
        <w:numPr>
          <w:ilvl w:val="0"/>
          <w:numId w:val="1"/>
        </w:numPr>
        <w:ind w:firstLine="720"/>
        <w:rPr>
          <w:rFonts w:cs="Times New Roman"/>
          <w:lang w:val="en-US"/>
        </w:rPr>
      </w:pPr>
      <w:r w:rsidRPr="00AF6E92">
        <w:rPr>
          <w:rFonts w:cs="Times New Roman"/>
        </w:rPr>
        <w:t xml:space="preserve">Калижникова, Е. А. Особенности гидродинамики глаза после факоэмульсификации  у  пациентов  с  первичной  открытоугольной глаукомой / Е. А. Калижникова [и др.] // Вестн. офтальмол. </w:t>
      </w:r>
      <w:r w:rsidRPr="00AF6E92">
        <w:rPr>
          <w:rFonts w:cs="Times New Roman"/>
          <w:lang w:val="en-US"/>
        </w:rPr>
        <w:t xml:space="preserve">− 2022. − № 5. − </w:t>
      </w:r>
      <w:r w:rsidRPr="00AF6E92">
        <w:rPr>
          <w:rFonts w:cs="Times New Roman"/>
        </w:rPr>
        <w:t>С</w:t>
      </w:r>
      <w:r w:rsidRPr="00AF6E92">
        <w:rPr>
          <w:rFonts w:cs="Times New Roman"/>
          <w:lang w:val="en-US"/>
        </w:rPr>
        <w:t>. 54−59.</w:t>
      </w:r>
    </w:p>
    <w:p w14:paraId="5DC42BDA" w14:textId="193140D5" w:rsidR="001811CF" w:rsidRDefault="000720A7" w:rsidP="00A12C76">
      <w:pPr>
        <w:spacing w:line="240" w:lineRule="auto"/>
        <w:ind w:firstLine="720"/>
      </w:pPr>
    </w:p>
    <w:p w14:paraId="1190F2DD" w14:textId="00C1C6B4" w:rsidR="00A12C76" w:rsidRDefault="00A12C76" w:rsidP="00A12C76">
      <w:pPr>
        <w:spacing w:line="240" w:lineRule="auto"/>
        <w:ind w:firstLine="720"/>
      </w:pPr>
    </w:p>
    <w:p w14:paraId="45FE0119" w14:textId="77777777" w:rsidR="00A12C76" w:rsidRPr="00A17543" w:rsidRDefault="00A12C76" w:rsidP="00A12C76">
      <w:pPr>
        <w:spacing w:line="240" w:lineRule="auto"/>
        <w:ind w:firstLine="709"/>
        <w:rPr>
          <w:rFonts w:cs="Times New Roman"/>
          <w:highlight w:val="yellow"/>
        </w:rPr>
      </w:pPr>
      <w:r w:rsidRPr="00A17543">
        <w:rPr>
          <w:rFonts w:cs="Times New Roman"/>
          <w:szCs w:val="24"/>
          <w:highlight w:val="yellow"/>
        </w:rPr>
        <w:t xml:space="preserve">Список литературы оформляется в соответствии с ГОСТ 7.1-2003 (примеры: </w:t>
      </w:r>
      <w:hyperlink r:id="rId6" w:history="1">
        <w:r w:rsidRPr="00A17543">
          <w:rPr>
            <w:rStyle w:val="a5"/>
            <w:rFonts w:cs="Times New Roman"/>
            <w:szCs w:val="24"/>
            <w:highlight w:val="yellow"/>
          </w:rPr>
          <w:t>https://vak.gov.by/bibliographicDescription</w:t>
        </w:r>
      </w:hyperlink>
      <w:r w:rsidRPr="00A17543">
        <w:rPr>
          <w:rFonts w:cs="Times New Roman"/>
          <w:szCs w:val="24"/>
          <w:highlight w:val="yellow"/>
        </w:rPr>
        <w:t>).</w:t>
      </w:r>
    </w:p>
    <w:p w14:paraId="3C7CFEFD" w14:textId="77777777" w:rsidR="00A12C76" w:rsidRPr="00A17543" w:rsidRDefault="00A12C76" w:rsidP="00A12C76">
      <w:pPr>
        <w:spacing w:line="240" w:lineRule="auto"/>
        <w:ind w:firstLine="709"/>
        <w:rPr>
          <w:rFonts w:cs="Times New Roman"/>
          <w:highlight w:val="yellow"/>
        </w:rPr>
      </w:pPr>
      <w:r w:rsidRPr="00A17543">
        <w:rPr>
          <w:rFonts w:cs="Times New Roman"/>
          <w:highlight w:val="yellow"/>
        </w:rPr>
        <w:t xml:space="preserve">Порядковые номера ссылок должны быть написаны внутри квадратных скобок, например: [1]. </w:t>
      </w:r>
    </w:p>
    <w:p w14:paraId="224F00C3" w14:textId="77777777" w:rsidR="00A12C76" w:rsidRPr="00A17543" w:rsidRDefault="00A12C76" w:rsidP="00A12C76">
      <w:pPr>
        <w:spacing w:line="240" w:lineRule="auto"/>
        <w:ind w:firstLine="709"/>
        <w:rPr>
          <w:rFonts w:cs="Times New Roman"/>
          <w:szCs w:val="24"/>
          <w:highlight w:val="yellow"/>
          <w:lang w:val="ru-RU"/>
        </w:rPr>
      </w:pPr>
      <w:r w:rsidRPr="00A17543">
        <w:rPr>
          <w:rFonts w:cs="Times New Roman"/>
          <w:highlight w:val="yellow"/>
        </w:rPr>
        <w:t>Не более 5 источников.</w:t>
      </w:r>
    </w:p>
    <w:p w14:paraId="60E564D5" w14:textId="5BDD8EA5" w:rsidR="00702CE6" w:rsidRPr="003A2BC8" w:rsidRDefault="00702CE6" w:rsidP="00702CE6">
      <w:pPr>
        <w:ind w:firstLine="709"/>
        <w:rPr>
          <w:rFonts w:cs="Times New Roman"/>
          <w:szCs w:val="24"/>
          <w:lang w:val="ru-RU"/>
        </w:rPr>
      </w:pPr>
      <w:r w:rsidRPr="00A17543">
        <w:rPr>
          <w:rFonts w:cs="Times New Roman"/>
          <w:highlight w:val="yellow"/>
        </w:rPr>
        <w:t>Для рисунков параметр «Обтекание текстом» выбирается в тексте, выравнивание по центру без</w:t>
      </w:r>
      <w:r w:rsidR="000720A7">
        <w:rPr>
          <w:rFonts w:cs="Times New Roman"/>
          <w:highlight w:val="yellow"/>
          <w:lang w:val="ru-RU"/>
        </w:rPr>
        <w:t xml:space="preserve"> отступа</w:t>
      </w:r>
      <w:r w:rsidRPr="00A17543">
        <w:rPr>
          <w:rFonts w:cs="Times New Roman"/>
          <w:highlight w:val="yellow"/>
        </w:rPr>
        <w:t xml:space="preserve"> абзаца.</w:t>
      </w:r>
    </w:p>
    <w:p w14:paraId="24F0A6A2" w14:textId="77777777" w:rsidR="00A12C76" w:rsidRPr="00702CE6" w:rsidRDefault="00A12C76" w:rsidP="00A12C76">
      <w:pPr>
        <w:spacing w:line="240" w:lineRule="auto"/>
        <w:ind w:firstLine="720"/>
        <w:rPr>
          <w:lang w:val="ru-RU"/>
        </w:rPr>
      </w:pPr>
    </w:p>
    <w:sectPr w:rsidR="00A12C76" w:rsidRPr="00702CE6" w:rsidSect="002259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3244"/>
    <w:multiLevelType w:val="hybridMultilevel"/>
    <w:tmpl w:val="F468EBB4"/>
    <w:lvl w:ilvl="0" w:tplc="5E4CE180">
      <w:start w:val="1"/>
      <w:numFmt w:val="decimal"/>
      <w:lvlText w:val="%1."/>
      <w:lvlJc w:val="left"/>
      <w:pPr>
        <w:ind w:left="0" w:firstLine="709"/>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16cid:durableId="19225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9D"/>
    <w:rsid w:val="000720A7"/>
    <w:rsid w:val="000E181D"/>
    <w:rsid w:val="001807E8"/>
    <w:rsid w:val="0022596F"/>
    <w:rsid w:val="002E1624"/>
    <w:rsid w:val="00655D10"/>
    <w:rsid w:val="00702CE6"/>
    <w:rsid w:val="00A12C76"/>
    <w:rsid w:val="00A17543"/>
    <w:rsid w:val="00B53270"/>
    <w:rsid w:val="00C14885"/>
    <w:rsid w:val="00D2459D"/>
    <w:rsid w:val="00ED3192"/>
    <w:rsid w:val="00FD3B3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69E3"/>
  <w15:chartTrackingRefBased/>
  <w15:docId w15:val="{4F6BD123-6212-42D4-A5AD-77FE5ECF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C76"/>
    <w:pPr>
      <w:spacing w:after="0"/>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81D"/>
    <w:pPr>
      <w:spacing w:line="240" w:lineRule="auto"/>
      <w:ind w:left="720"/>
      <w:contextualSpacing/>
    </w:pPr>
    <w:rPr>
      <w:szCs w:val="24"/>
      <w:lang w:val="ru-RU"/>
    </w:rPr>
  </w:style>
  <w:style w:type="table" w:styleId="a4">
    <w:name w:val="Table Grid"/>
    <w:basedOn w:val="a1"/>
    <w:uiPriority w:val="39"/>
    <w:rsid w:val="000E181D"/>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12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k.gov.by/bibliographicDescrip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Mychko</dc:creator>
  <cp:keywords/>
  <dc:description/>
  <cp:lastModifiedBy>Dmitry Mychko</cp:lastModifiedBy>
  <cp:revision>9</cp:revision>
  <dcterms:created xsi:type="dcterms:W3CDTF">2024-01-23T12:00:00Z</dcterms:created>
  <dcterms:modified xsi:type="dcterms:W3CDTF">2024-05-31T14:04:00Z</dcterms:modified>
</cp:coreProperties>
</file>